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Memo: Change to Four-Day Work Week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issued: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Issued to: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Subject: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Changes in the number of working days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management of [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Name] is excited to announce that as of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all employees temporarily transition from five to four working days in a week. Due to changing business requirements, we are making these adjustments on a temporary basis. </w:t>
      </w:r>
    </w:p>
    <w:p w:rsidR="00000000" w:rsidDel="00000000" w:rsidP="00000000" w:rsidRDefault="00000000" w:rsidRPr="00000000" w14:paraId="0000000B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new work schedule will be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Monday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through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Thursday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That means you can have more days spent with your loved ones or simply enjoy some time for yourself.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The number of hours per day will not change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Hence, you can still productively fulfil that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32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working hours per week.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note: this is a trial that will last for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six months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but may be extended or ended early as necessary depending on company performance.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accept this as notice of the required temporary changes but understand that in no way does this trial of the four day work week form a basis, expectation, or condition under your employment agreement. It is not necessarily the new standard of work.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contact management at any time with questions or if you have any challenges with the new schedule and we will be happy to provide assistance.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b w:val="1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MQwPYqsBYjXaaCQrLkbXypDacg==">AMUW2mWoFhG/VUCZadCaqC1sp+HPDCbeY/3ieiKrI+ueKuUeOvqCnuymk+xLxtyBDaFBoszhr1li2EFtbCREq33pvtTQLHfduJ34fU0dFwON5zSmUm9Ug18=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